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A57A" w14:textId="0D31CD2A" w:rsidR="00DB0F4C" w:rsidRPr="00C33833" w:rsidRDefault="00DB0F4C" w:rsidP="00DB0F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3833">
        <w:rPr>
          <w:rFonts w:ascii="Times New Roman" w:hAnsi="Times New Roman" w:cs="Times New Roman"/>
          <w:b/>
          <w:sz w:val="32"/>
          <w:szCs w:val="32"/>
        </w:rPr>
        <w:t>AGRICUL</w:t>
      </w:r>
      <w:r w:rsidR="00C33833" w:rsidRPr="00C33833">
        <w:rPr>
          <w:rFonts w:ascii="Times New Roman" w:hAnsi="Times New Roman" w:cs="Times New Roman"/>
          <w:b/>
          <w:sz w:val="32"/>
          <w:szCs w:val="32"/>
        </w:rPr>
        <w:t>T</w:t>
      </w:r>
      <w:r w:rsidRPr="00C33833">
        <w:rPr>
          <w:rFonts w:ascii="Times New Roman" w:hAnsi="Times New Roman" w:cs="Times New Roman"/>
          <w:b/>
          <w:sz w:val="32"/>
          <w:szCs w:val="32"/>
        </w:rPr>
        <w:t xml:space="preserve">URAL BUSINESS </w:t>
      </w:r>
    </w:p>
    <w:p w14:paraId="16B3290B" w14:textId="403C0021" w:rsidR="00DB0F4C" w:rsidRPr="00C33833" w:rsidRDefault="00DB0F4C" w:rsidP="00DB0F4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33833">
        <w:rPr>
          <w:rFonts w:ascii="Times New Roman" w:hAnsi="Times New Roman" w:cs="Times New Roman"/>
          <w:bCs/>
          <w:sz w:val="24"/>
          <w:szCs w:val="24"/>
        </w:rPr>
        <w:t>CHANGE OF MAJOR PROCEDURE</w:t>
      </w:r>
      <w:r w:rsidR="00C33833">
        <w:rPr>
          <w:rFonts w:ascii="Times New Roman" w:hAnsi="Times New Roman" w:cs="Times New Roman"/>
          <w:bCs/>
          <w:sz w:val="24"/>
          <w:szCs w:val="24"/>
        </w:rPr>
        <w:t xml:space="preserve"> (effective Winter 2026)</w:t>
      </w:r>
    </w:p>
    <w:p w14:paraId="45AE05A7" w14:textId="77777777" w:rsidR="003C5D27" w:rsidRDefault="003C5D27" w:rsidP="00182A05">
      <w:pPr>
        <w:rPr>
          <w:b/>
          <w:sz w:val="26"/>
          <w:szCs w:val="26"/>
          <w:u w:val="single"/>
        </w:rPr>
      </w:pPr>
    </w:p>
    <w:p w14:paraId="723A37CD" w14:textId="0B187E32" w:rsidR="00182A05" w:rsidRPr="00A42FC6" w:rsidRDefault="00182A05" w:rsidP="00182A05">
      <w:pPr>
        <w:rPr>
          <w:b/>
          <w:sz w:val="26"/>
          <w:szCs w:val="26"/>
          <w:u w:val="single"/>
        </w:rPr>
      </w:pPr>
      <w:r w:rsidRPr="00A42FC6">
        <w:rPr>
          <w:b/>
          <w:sz w:val="26"/>
          <w:szCs w:val="26"/>
          <w:u w:val="single"/>
        </w:rPr>
        <w:t>General Guidelines:</w:t>
      </w:r>
    </w:p>
    <w:p w14:paraId="3E7BA524" w14:textId="52427EE6" w:rsidR="00533554" w:rsidRPr="00C9349C" w:rsidRDefault="00533554" w:rsidP="0053355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Students must complete at least one </w:t>
      </w:r>
      <w:r w:rsidR="003C5D27">
        <w:rPr>
          <w:rStyle w:val="normaltextrun"/>
          <w:rFonts w:ascii="Calibri" w:hAnsi="Calibri" w:cs="Segoe UI"/>
          <w:sz w:val="22"/>
          <w:szCs w:val="22"/>
        </w:rPr>
        <w:t xml:space="preserve">term </w:t>
      </w:r>
      <w:r>
        <w:rPr>
          <w:rStyle w:val="normaltextrun"/>
          <w:rFonts w:ascii="Calibri" w:hAnsi="Calibri" w:cs="Segoe UI"/>
          <w:sz w:val="22"/>
          <w:szCs w:val="22"/>
        </w:rPr>
        <w:t>at Cal Poly before entering into an Individualized Change of Major Agreement (ICMA).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87B1EAF" w14:textId="77777777" w:rsidR="00533554" w:rsidRPr="00C9349C" w:rsidRDefault="00533554" w:rsidP="00533554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Segoe UI" w:hAnsi="Segoe UI" w:cs="Segoe UI"/>
          <w:sz w:val="12"/>
          <w:szCs w:val="12"/>
        </w:rPr>
      </w:pPr>
    </w:p>
    <w:p w14:paraId="1654F9CA" w14:textId="77777777" w:rsidR="00533554" w:rsidRDefault="00533554" w:rsidP="00533554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Review Cal Poly’s </w:t>
      </w:r>
      <w:hyperlink r:id="rId7" w:tgtFrame="_blank" w:history="1">
        <w:r>
          <w:rPr>
            <w:rStyle w:val="normaltextrun"/>
            <w:rFonts w:ascii="Calibri" w:hAnsi="Calibri" w:cs="Segoe UI"/>
            <w:b/>
            <w:bCs/>
            <w:color w:val="0563C1"/>
            <w:sz w:val="22"/>
            <w:szCs w:val="22"/>
          </w:rPr>
          <w:t>General Change of Major Policy</w:t>
        </w:r>
      </w:hyperlink>
      <w:r>
        <w:rPr>
          <w:rStyle w:val="normaltextrun"/>
          <w:rFonts w:ascii="Calibri" w:hAnsi="Calibri" w:cs="Segoe UI"/>
          <w:b/>
          <w:bCs/>
          <w:sz w:val="22"/>
          <w:szCs w:val="22"/>
        </w:rPr>
        <w:t> </w:t>
      </w:r>
      <w:r>
        <w:rPr>
          <w:rStyle w:val="normaltextrun"/>
          <w:rFonts w:ascii="Calibri" w:hAnsi="Calibri" w:cs="Segoe UI"/>
          <w:sz w:val="22"/>
          <w:szCs w:val="22"/>
        </w:rPr>
        <w:t>in full.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4FF8888" w14:textId="77777777" w:rsidR="00533554" w:rsidRPr="00C9349C" w:rsidRDefault="00533554" w:rsidP="005335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6A25B48D" w14:textId="17D93942" w:rsidR="00533554" w:rsidRPr="00C9349C" w:rsidRDefault="00533554" w:rsidP="0053355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Students are allowed </w:t>
      </w:r>
      <w:r w:rsidR="003C5D27">
        <w:rPr>
          <w:rStyle w:val="normaltextrun"/>
          <w:rFonts w:ascii="Calibri" w:hAnsi="Calibri" w:cs="Segoe UI"/>
          <w:sz w:val="22"/>
          <w:szCs w:val="22"/>
        </w:rPr>
        <w:t xml:space="preserve">only </w:t>
      </w:r>
      <w:r>
        <w:rPr>
          <w:rStyle w:val="normaltextrun"/>
          <w:rFonts w:ascii="Calibri" w:hAnsi="Calibri" w:cs="Segoe UI"/>
          <w:sz w:val="22"/>
          <w:szCs w:val="22"/>
        </w:rPr>
        <w:t>1 ICMA per major.  Students who do not meet the conditions of their ICMA will </w:t>
      </w:r>
      <w:r>
        <w:rPr>
          <w:rStyle w:val="normaltextrun"/>
          <w:rFonts w:ascii="Calibri" w:hAnsi="Calibri" w:cs="Segoe UI"/>
          <w:b/>
          <w:bCs/>
          <w:sz w:val="22"/>
          <w:szCs w:val="22"/>
        </w:rPr>
        <w:t>not </w:t>
      </w:r>
      <w:r>
        <w:rPr>
          <w:rStyle w:val="normaltextrun"/>
          <w:rFonts w:ascii="Calibri" w:hAnsi="Calibri" w:cs="Segoe UI"/>
          <w:sz w:val="22"/>
          <w:szCs w:val="22"/>
        </w:rPr>
        <w:t>be issued another ICMA for that major.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38C7BAF" w14:textId="77777777" w:rsidR="00533554" w:rsidRPr="00C9349C" w:rsidRDefault="00533554" w:rsidP="00533554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Segoe UI" w:hAnsi="Segoe UI" w:cs="Segoe UI"/>
          <w:sz w:val="16"/>
          <w:szCs w:val="16"/>
        </w:rPr>
      </w:pPr>
    </w:p>
    <w:p w14:paraId="7F71C914" w14:textId="1615685E" w:rsidR="008D6866" w:rsidRPr="00D500DF" w:rsidRDefault="00533554" w:rsidP="00533554">
      <w:pPr>
        <w:pStyle w:val="ListParagraph"/>
        <w:numPr>
          <w:ilvl w:val="0"/>
          <w:numId w:val="11"/>
        </w:numPr>
      </w:pPr>
      <w:r>
        <w:t>Students must be able to graduate in a timely manner. A realistic graduation plan may be required to demonstrate whether this is feasible.</w:t>
      </w:r>
    </w:p>
    <w:p w14:paraId="4B3C02AB" w14:textId="77777777" w:rsidR="00533554" w:rsidRPr="00533554" w:rsidRDefault="008D6866" w:rsidP="005335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u w:val="single"/>
        </w:rPr>
      </w:pPr>
      <w:r>
        <w:rPr>
          <w:rStyle w:val="normaltextrun"/>
          <w:rFonts w:ascii="Calibri" w:hAnsi="Calibri" w:cs="Segoe UI"/>
          <w:b/>
          <w:bCs/>
          <w:sz w:val="30"/>
          <w:szCs w:val="30"/>
          <w:u w:val="single"/>
        </w:rPr>
        <w:t> </w:t>
      </w:r>
      <w:r w:rsidR="00533554" w:rsidRPr="00533554">
        <w:rPr>
          <w:rStyle w:val="normaltextrun"/>
          <w:rFonts w:ascii="Calibri" w:hAnsi="Calibri" w:cs="Segoe UI"/>
          <w:b/>
          <w:bCs/>
          <w:sz w:val="30"/>
          <w:szCs w:val="30"/>
          <w:u w:val="single"/>
        </w:rPr>
        <w:t>Complete the Change of Major Inquiry Form</w:t>
      </w:r>
    </w:p>
    <w:p w14:paraId="583F4471" w14:textId="77777777" w:rsidR="00533554" w:rsidRDefault="00533554" w:rsidP="00533554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Complete the Change of Major Inquiry Form through your Cal Poly Portal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E319997" w14:textId="77777777" w:rsidR="00533554" w:rsidRDefault="00533554" w:rsidP="00533554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 xml:space="preserve">Instructions found here: </w:t>
      </w:r>
      <w:hyperlink r:id="rId8" w:history="1">
        <w:r w:rsidRPr="00AD21EF">
          <w:rPr>
            <w:rStyle w:val="Hyperlink"/>
            <w:rFonts w:ascii="Calibri" w:hAnsi="Calibri" w:cs="Segoe UI"/>
            <w:sz w:val="22"/>
            <w:szCs w:val="22"/>
          </w:rPr>
          <w:t>https://advising.calpoly.edu/change-major</w:t>
        </w:r>
      </w:hyperlink>
      <w:r>
        <w:rPr>
          <w:rStyle w:val="eop"/>
          <w:rFonts w:ascii="Calibri" w:hAnsi="Calibri" w:cs="Segoe UI"/>
          <w:sz w:val="22"/>
          <w:szCs w:val="22"/>
        </w:rPr>
        <w:t xml:space="preserve"> </w:t>
      </w:r>
    </w:p>
    <w:p w14:paraId="1FDDF6F8" w14:textId="77777777" w:rsidR="00533554" w:rsidRPr="00942743" w:rsidRDefault="00533554" w:rsidP="00533554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="Segoe UI"/>
          <w:sz w:val="22"/>
          <w:szCs w:val="22"/>
        </w:rPr>
      </w:pPr>
      <w:r w:rsidRPr="00942743">
        <w:rPr>
          <w:rStyle w:val="eop"/>
          <w:rFonts w:asciiTheme="minorHAnsi" w:hAnsiTheme="minorHAnsi" w:cs="Segoe UI"/>
          <w:sz w:val="22"/>
          <w:szCs w:val="22"/>
        </w:rPr>
        <w:t> </w:t>
      </w:r>
    </w:p>
    <w:p w14:paraId="21585C04" w14:textId="77777777" w:rsidR="00533554" w:rsidRDefault="00533554" w:rsidP="00533554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You will receive an email response from the </w:t>
      </w:r>
      <w:r w:rsidR="007B5A09">
        <w:rPr>
          <w:rStyle w:val="normaltextrun"/>
          <w:rFonts w:ascii="Calibri" w:hAnsi="Calibri" w:cs="Segoe UI"/>
          <w:sz w:val="22"/>
          <w:szCs w:val="22"/>
        </w:rPr>
        <w:t>Change of Major Coordinator</w:t>
      </w:r>
      <w:r>
        <w:rPr>
          <w:rStyle w:val="normaltextrun"/>
          <w:rFonts w:ascii="Calibri" w:hAnsi="Calibri" w:cs="Segoe UI"/>
          <w:sz w:val="22"/>
          <w:szCs w:val="22"/>
        </w:rPr>
        <w:t xml:space="preserve"> within </w:t>
      </w:r>
      <w:r>
        <w:rPr>
          <w:rStyle w:val="normaltextrun"/>
          <w:rFonts w:ascii="Calibri" w:hAnsi="Calibri" w:cs="Segoe UI"/>
          <w:b/>
          <w:bCs/>
          <w:sz w:val="22"/>
          <w:szCs w:val="22"/>
        </w:rPr>
        <w:t>10 business days</w:t>
      </w:r>
      <w:r>
        <w:rPr>
          <w:rStyle w:val="normaltextrun"/>
          <w:rFonts w:ascii="Calibri" w:hAnsi="Calibri" w:cs="Segoe UI"/>
          <w:bCs/>
          <w:sz w:val="22"/>
          <w:szCs w:val="22"/>
        </w:rPr>
        <w:t xml:space="preserve"> with details regarding next steps</w:t>
      </w:r>
      <w:r>
        <w:rPr>
          <w:rStyle w:val="normaltextrun"/>
          <w:rFonts w:ascii="Calibri" w:hAnsi="Calibri" w:cs="Segoe UI"/>
          <w:b/>
          <w:bCs/>
          <w:sz w:val="22"/>
          <w:szCs w:val="22"/>
        </w:rPr>
        <w:t>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5CEC9B6" w14:textId="77777777" w:rsidR="00533554" w:rsidRPr="00A42FC6" w:rsidRDefault="00533554" w:rsidP="00533554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Segoe UI"/>
          <w:sz w:val="14"/>
          <w:szCs w:val="14"/>
        </w:rPr>
      </w:pPr>
    </w:p>
    <w:p w14:paraId="791D3729" w14:textId="77777777" w:rsidR="00182A05" w:rsidRPr="00F40B3F" w:rsidRDefault="00182A05" w:rsidP="00182A05">
      <w:pPr>
        <w:rPr>
          <w:color w:val="FF0000"/>
        </w:rPr>
      </w:pPr>
      <w:r>
        <w:rPr>
          <w:b/>
          <w:sz w:val="30"/>
          <w:szCs w:val="30"/>
          <w:u w:val="single"/>
        </w:rPr>
        <w:t xml:space="preserve">Meet with </w:t>
      </w:r>
      <w:r w:rsidR="002B13BC">
        <w:rPr>
          <w:b/>
          <w:sz w:val="30"/>
          <w:szCs w:val="30"/>
          <w:u w:val="single"/>
        </w:rPr>
        <w:t xml:space="preserve">Department </w:t>
      </w:r>
      <w:r>
        <w:rPr>
          <w:b/>
          <w:sz w:val="30"/>
          <w:szCs w:val="30"/>
          <w:u w:val="single"/>
        </w:rPr>
        <w:t>Contact</w:t>
      </w:r>
    </w:p>
    <w:p w14:paraId="70DA1D3F" w14:textId="67D2D1AD" w:rsidR="00182A05" w:rsidRDefault="00182A05" w:rsidP="00DB0F4C">
      <w:pPr>
        <w:pStyle w:val="ListParagraph"/>
        <w:numPr>
          <w:ilvl w:val="0"/>
          <w:numId w:val="5"/>
        </w:numPr>
      </w:pPr>
      <w:r w:rsidRPr="00C82AF3">
        <w:t xml:space="preserve">Once eligibility is determined, </w:t>
      </w:r>
      <w:r w:rsidR="00DB0F4C">
        <w:t xml:space="preserve">students should meet with a Peer Advisor in the </w:t>
      </w:r>
      <w:r w:rsidR="00C33833">
        <w:t>CAFES</w:t>
      </w:r>
      <w:r w:rsidR="00DB0F4C">
        <w:t xml:space="preserve"> Academic Advising Center. Peer Advisors can answer general questions pertaining to the ICMA and make appointments for the student with the </w:t>
      </w:r>
      <w:r w:rsidR="00C33833">
        <w:t>AGB Change of major coordinator</w:t>
      </w:r>
      <w:r w:rsidR="00DB0F4C">
        <w:t>.</w:t>
      </w:r>
    </w:p>
    <w:p w14:paraId="7AA0F5BD" w14:textId="77777777" w:rsidR="00533554" w:rsidRPr="00533554" w:rsidRDefault="00533554" w:rsidP="00182A05">
      <w:pPr>
        <w:rPr>
          <w:i/>
        </w:rPr>
      </w:pPr>
      <w:r w:rsidRPr="00533554">
        <w:rPr>
          <w:i/>
          <w:sz w:val="30"/>
          <w:szCs w:val="30"/>
        </w:rPr>
        <w:t>**</w:t>
      </w:r>
      <w:r w:rsidRPr="00533554">
        <w:rPr>
          <w:i/>
        </w:rPr>
        <w:t xml:space="preserve">The completion of coursework without prior consultation with the intended major department does not guarantee the student eligibility to switch into the intended </w:t>
      </w:r>
      <w:proofErr w:type="gramStart"/>
      <w:r w:rsidRPr="00533554">
        <w:rPr>
          <w:i/>
        </w:rPr>
        <w:t>major.*</w:t>
      </w:r>
      <w:proofErr w:type="gramEnd"/>
      <w:r w:rsidRPr="00533554">
        <w:rPr>
          <w:i/>
        </w:rPr>
        <w:t>*</w:t>
      </w:r>
    </w:p>
    <w:p w14:paraId="0C005D9B" w14:textId="77777777" w:rsidR="00182A05" w:rsidRPr="008F033E" w:rsidRDefault="00182A05" w:rsidP="00A42FC6">
      <w:pPr>
        <w:spacing w:after="0"/>
        <w:rPr>
          <w:color w:val="FF0000"/>
        </w:rPr>
      </w:pPr>
      <w:r>
        <w:rPr>
          <w:b/>
          <w:sz w:val="26"/>
          <w:szCs w:val="26"/>
        </w:rPr>
        <w:t xml:space="preserve">  </w:t>
      </w:r>
      <w:r w:rsidR="00533554">
        <w:rPr>
          <w:b/>
          <w:sz w:val="26"/>
          <w:szCs w:val="26"/>
          <w:u w:val="single"/>
        </w:rPr>
        <w:t>ICMA Criteria:</w:t>
      </w:r>
      <w:r>
        <w:rPr>
          <w:b/>
          <w:sz w:val="30"/>
          <w:szCs w:val="30"/>
          <w:u w:val="single"/>
        </w:rPr>
        <w:t xml:space="preserve"> </w:t>
      </w:r>
    </w:p>
    <w:p w14:paraId="0513C639" w14:textId="5FE2B288" w:rsidR="00182A05" w:rsidRDefault="00182A05" w:rsidP="00DB0F4C">
      <w:r>
        <w:t xml:space="preserve">If a student is granted an ICMA, it will not exceed </w:t>
      </w:r>
      <w:r w:rsidR="00C33833" w:rsidRPr="00C33833">
        <w:rPr>
          <w:u w:val="single"/>
        </w:rPr>
        <w:t>one</w:t>
      </w:r>
      <w:r w:rsidR="00C33833">
        <w:t xml:space="preserve"> term. Students will be required to take </w:t>
      </w:r>
      <w:r w:rsidR="00C33833" w:rsidRPr="00C33833">
        <w:rPr>
          <w:u w:val="single"/>
        </w:rPr>
        <w:t>two</w:t>
      </w:r>
      <w:r w:rsidR="00C33833">
        <w:t xml:space="preserve"> specified courses for</w:t>
      </w:r>
      <w:r w:rsidR="00DB0F4C">
        <w:t xml:space="preserve"> the ICMA and meet a </w:t>
      </w:r>
      <w:r w:rsidR="00C33833">
        <w:t>specific grade and</w:t>
      </w:r>
      <w:r w:rsidR="00DB0F4C">
        <w:t xml:space="preserve"> GPA requirement.</w:t>
      </w:r>
    </w:p>
    <w:p w14:paraId="62A8340C" w14:textId="6DC17426" w:rsidR="00182A05" w:rsidRDefault="002B13BC" w:rsidP="00182A05">
      <w:pPr>
        <w:ind w:left="720"/>
      </w:pPr>
      <w:r>
        <w:t>Requirements</w:t>
      </w:r>
      <w:r w:rsidR="00182A05">
        <w:t xml:space="preserve"> included in the ICMA </w:t>
      </w:r>
      <w:r w:rsidR="00C33833">
        <w:t xml:space="preserve">to the </w:t>
      </w:r>
      <w:r w:rsidR="00DB0F4C">
        <w:t>Agricultural Business major</w:t>
      </w:r>
      <w:r w:rsidR="00C33833">
        <w:t xml:space="preserve"> are</w:t>
      </w:r>
      <w:r w:rsidR="00533554">
        <w:t>:</w:t>
      </w:r>
    </w:p>
    <w:p w14:paraId="69E1AB2A" w14:textId="58429E3B" w:rsidR="00DB0F4C" w:rsidRDefault="00C33833" w:rsidP="00C33833">
      <w:pPr>
        <w:pStyle w:val="ListParagraph"/>
        <w:numPr>
          <w:ilvl w:val="0"/>
          <w:numId w:val="9"/>
        </w:numPr>
      </w:pPr>
      <w:r>
        <w:t xml:space="preserve">The completion of two </w:t>
      </w:r>
      <w:r w:rsidR="00DB0F4C">
        <w:t xml:space="preserve">of the following </w:t>
      </w:r>
      <w:r>
        <w:t xml:space="preserve">three </w:t>
      </w:r>
      <w:r w:rsidR="00DB0F4C">
        <w:t>courses</w:t>
      </w:r>
      <w:r>
        <w:t xml:space="preserve">. </w:t>
      </w:r>
      <w:r w:rsidR="003C5D27">
        <w:t>S</w:t>
      </w:r>
      <w:r>
        <w:t>tudents must achieve</w:t>
      </w:r>
      <w:r w:rsidR="00DB0F4C">
        <w:t xml:space="preserve"> a grade of C or better</w:t>
      </w:r>
      <w:r>
        <w:t xml:space="preserve"> in these two courses. The course choices are:</w:t>
      </w:r>
    </w:p>
    <w:p w14:paraId="0B5A3A41" w14:textId="77777777" w:rsidR="003C5D27" w:rsidRDefault="003C5D27" w:rsidP="003C5D27">
      <w:pPr>
        <w:pStyle w:val="ListParagraph"/>
        <w:ind w:left="1800"/>
      </w:pPr>
    </w:p>
    <w:p w14:paraId="0A785EF6" w14:textId="150B2DE7" w:rsidR="00C33833" w:rsidRDefault="00C33833" w:rsidP="00C33833">
      <w:pPr>
        <w:pStyle w:val="ListParagraph"/>
        <w:numPr>
          <w:ilvl w:val="1"/>
          <w:numId w:val="9"/>
        </w:numPr>
      </w:pPr>
      <w:r>
        <w:t>AGB 212 (2212)</w:t>
      </w:r>
    </w:p>
    <w:p w14:paraId="61861465" w14:textId="5FBE4EF3" w:rsidR="00C33833" w:rsidRDefault="00C33833" w:rsidP="00C33833">
      <w:pPr>
        <w:pStyle w:val="ListParagraph"/>
        <w:numPr>
          <w:ilvl w:val="1"/>
          <w:numId w:val="9"/>
        </w:numPr>
      </w:pPr>
      <w:r>
        <w:t>AGB 214 (2214)</w:t>
      </w:r>
    </w:p>
    <w:p w14:paraId="2F09A948" w14:textId="119E9074" w:rsidR="00C33833" w:rsidRDefault="00C33833" w:rsidP="00C33833">
      <w:pPr>
        <w:pStyle w:val="ListParagraph"/>
        <w:numPr>
          <w:ilvl w:val="1"/>
          <w:numId w:val="9"/>
        </w:numPr>
      </w:pPr>
      <w:r>
        <w:t>MATH 221 (</w:t>
      </w:r>
      <w:r w:rsidR="003C5D27">
        <w:t>1267</w:t>
      </w:r>
      <w:r>
        <w:t xml:space="preserve">) </w:t>
      </w:r>
      <w:r w:rsidRPr="003C5D27">
        <w:rPr>
          <w:u w:val="single"/>
        </w:rPr>
        <w:t>OR</w:t>
      </w:r>
      <w:r>
        <w:t xml:space="preserve"> STAT 251 (</w:t>
      </w:r>
      <w:r w:rsidR="003C5D27">
        <w:t>1210</w:t>
      </w:r>
      <w:r>
        <w:t>)</w:t>
      </w:r>
    </w:p>
    <w:p w14:paraId="5BE02F63" w14:textId="77777777" w:rsidR="00C33833" w:rsidRDefault="00C33833" w:rsidP="00C33833">
      <w:pPr>
        <w:pStyle w:val="ListParagraph"/>
        <w:ind w:left="2520"/>
      </w:pPr>
    </w:p>
    <w:p w14:paraId="5C62D1B1" w14:textId="7C12A7A5" w:rsidR="009A5042" w:rsidRDefault="00DB0F4C" w:rsidP="00CF5604">
      <w:pPr>
        <w:pStyle w:val="ListParagraph"/>
        <w:numPr>
          <w:ilvl w:val="0"/>
          <w:numId w:val="9"/>
        </w:numPr>
      </w:pPr>
      <w:r>
        <w:t xml:space="preserve">Achieve a </w:t>
      </w:r>
      <w:r w:rsidRPr="003C5D27">
        <w:rPr>
          <w:u w:val="single"/>
        </w:rPr>
        <w:t>minimum GPA of 2.8</w:t>
      </w:r>
      <w:r>
        <w:t xml:space="preserve"> during </w:t>
      </w:r>
      <w:r w:rsidR="003C5D27">
        <w:t>the ICMA term.</w:t>
      </w:r>
    </w:p>
    <w:sectPr w:rsidR="009A5042" w:rsidSect="00D379D0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0CD2" w14:textId="77777777" w:rsidR="00332D4A" w:rsidRDefault="00332D4A">
      <w:pPr>
        <w:spacing w:after="0" w:line="240" w:lineRule="auto"/>
      </w:pPr>
      <w:r>
        <w:separator/>
      </w:r>
    </w:p>
  </w:endnote>
  <w:endnote w:type="continuationSeparator" w:id="0">
    <w:p w14:paraId="7C1EE1B1" w14:textId="77777777" w:rsidR="00332D4A" w:rsidRDefault="0033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41CB" w14:textId="77777777" w:rsidR="00332D4A" w:rsidRDefault="00332D4A">
      <w:pPr>
        <w:spacing w:after="0" w:line="240" w:lineRule="auto"/>
      </w:pPr>
      <w:r>
        <w:separator/>
      </w:r>
    </w:p>
  </w:footnote>
  <w:footnote w:type="continuationSeparator" w:id="0">
    <w:p w14:paraId="39756DB7" w14:textId="77777777" w:rsidR="00332D4A" w:rsidRDefault="00332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73D7" w14:textId="3B659B9E" w:rsidR="009A5042" w:rsidRDefault="009A5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3B3"/>
    <w:multiLevelType w:val="hybridMultilevel"/>
    <w:tmpl w:val="948C2F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06ED5"/>
    <w:multiLevelType w:val="hybridMultilevel"/>
    <w:tmpl w:val="6A4A02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0605A"/>
    <w:multiLevelType w:val="hybridMultilevel"/>
    <w:tmpl w:val="06925C68"/>
    <w:lvl w:ilvl="0" w:tplc="58C608B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CB7F23"/>
    <w:multiLevelType w:val="multilevel"/>
    <w:tmpl w:val="6F56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A05CEA"/>
    <w:multiLevelType w:val="multilevel"/>
    <w:tmpl w:val="A192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0F42C1"/>
    <w:multiLevelType w:val="hybridMultilevel"/>
    <w:tmpl w:val="1CFA268A"/>
    <w:lvl w:ilvl="0" w:tplc="EC5E8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E345D"/>
    <w:multiLevelType w:val="multilevel"/>
    <w:tmpl w:val="449E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E61FF"/>
    <w:multiLevelType w:val="hybridMultilevel"/>
    <w:tmpl w:val="C1987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0784C"/>
    <w:multiLevelType w:val="hybridMultilevel"/>
    <w:tmpl w:val="E63E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76BFF"/>
    <w:multiLevelType w:val="hybridMultilevel"/>
    <w:tmpl w:val="B91275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483DD8"/>
    <w:multiLevelType w:val="multilevel"/>
    <w:tmpl w:val="68DE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F321ED7"/>
    <w:multiLevelType w:val="hybridMultilevel"/>
    <w:tmpl w:val="A46C507C"/>
    <w:lvl w:ilvl="0" w:tplc="77103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20DFA"/>
    <w:multiLevelType w:val="hybridMultilevel"/>
    <w:tmpl w:val="D8C0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B5BAB"/>
    <w:multiLevelType w:val="hybridMultilevel"/>
    <w:tmpl w:val="B920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093079">
    <w:abstractNumId w:val="11"/>
  </w:num>
  <w:num w:numId="2" w16cid:durableId="1517035483">
    <w:abstractNumId w:val="8"/>
  </w:num>
  <w:num w:numId="3" w16cid:durableId="669530684">
    <w:abstractNumId w:val="13"/>
  </w:num>
  <w:num w:numId="4" w16cid:durableId="1848254665">
    <w:abstractNumId w:val="0"/>
  </w:num>
  <w:num w:numId="5" w16cid:durableId="685060033">
    <w:abstractNumId w:val="7"/>
  </w:num>
  <w:num w:numId="6" w16cid:durableId="1512137368">
    <w:abstractNumId w:val="6"/>
  </w:num>
  <w:num w:numId="7" w16cid:durableId="335234035">
    <w:abstractNumId w:val="1"/>
  </w:num>
  <w:num w:numId="8" w16cid:durableId="2115124972">
    <w:abstractNumId w:val="9"/>
  </w:num>
  <w:num w:numId="9" w16cid:durableId="523130483">
    <w:abstractNumId w:val="2"/>
  </w:num>
  <w:num w:numId="10" w16cid:durableId="305016153">
    <w:abstractNumId w:val="10"/>
  </w:num>
  <w:num w:numId="11" w16cid:durableId="1262952732">
    <w:abstractNumId w:val="5"/>
  </w:num>
  <w:num w:numId="12" w16cid:durableId="1209606976">
    <w:abstractNumId w:val="3"/>
  </w:num>
  <w:num w:numId="13" w16cid:durableId="360126609">
    <w:abstractNumId w:val="4"/>
  </w:num>
  <w:num w:numId="14" w16cid:durableId="5878891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05"/>
    <w:rsid w:val="001533FA"/>
    <w:rsid w:val="00182A05"/>
    <w:rsid w:val="001A3E3F"/>
    <w:rsid w:val="002A5CDC"/>
    <w:rsid w:val="002B13BC"/>
    <w:rsid w:val="00332D4A"/>
    <w:rsid w:val="003505A8"/>
    <w:rsid w:val="003C5D27"/>
    <w:rsid w:val="00533554"/>
    <w:rsid w:val="00684BCA"/>
    <w:rsid w:val="006E7264"/>
    <w:rsid w:val="007B5A09"/>
    <w:rsid w:val="00837F6F"/>
    <w:rsid w:val="008D6866"/>
    <w:rsid w:val="00920415"/>
    <w:rsid w:val="009A5042"/>
    <w:rsid w:val="00A42FC6"/>
    <w:rsid w:val="00C33833"/>
    <w:rsid w:val="00C87AF5"/>
    <w:rsid w:val="00DB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346AC"/>
  <w15:chartTrackingRefBased/>
  <w15:docId w15:val="{502342A5-3805-46B7-9BD9-9C8F06DA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82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A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2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A05"/>
  </w:style>
  <w:style w:type="paragraph" w:customStyle="1" w:styleId="paragraph">
    <w:name w:val="paragraph"/>
    <w:basedOn w:val="Normal"/>
    <w:rsid w:val="0053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33554"/>
  </w:style>
  <w:style w:type="character" w:customStyle="1" w:styleId="eop">
    <w:name w:val="eop"/>
    <w:basedOn w:val="DefaultParagraphFont"/>
    <w:rsid w:val="00533554"/>
  </w:style>
  <w:style w:type="paragraph" w:styleId="NormalWeb">
    <w:name w:val="Normal (Web)"/>
    <w:basedOn w:val="Normal"/>
    <w:uiPriority w:val="99"/>
    <w:semiHidden/>
    <w:unhideWhenUsed/>
    <w:rsid w:val="009204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ising.calpoly.edu/change-majo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talog.calpoly.edu/academicstandardsandpolicies/otherinform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329</Words>
  <Characters>1711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San Luis Obispo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Lasich</dc:creator>
  <cp:keywords/>
  <dc:description/>
  <cp:lastModifiedBy>Craig N. Hooper</cp:lastModifiedBy>
  <cp:revision>3</cp:revision>
  <dcterms:created xsi:type="dcterms:W3CDTF">2026-01-23T16:44:00Z</dcterms:created>
  <dcterms:modified xsi:type="dcterms:W3CDTF">2026-01-23T17:00:00Z</dcterms:modified>
</cp:coreProperties>
</file>